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spacing w:after="60" w:line="240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371600" cy="79695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96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b w:val="1"/>
          <w:rtl w:val="0"/>
        </w:rPr>
        <w:t xml:space="preserve">Master of Education with Licensure – Middle Grades Education Candidate Worksheet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after="0" w:line="240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must have a bachelor’s degree with a cumulative GPA of at least 2.75/4.0. Candidates with a cumulative GPA below 2.75/4.0 may be considered provided they complete pre-requisites.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licensure in the Middle Grades, candidates must have at least 21 hours of coursework in their licensure area. Areas are General Science, Language Arts, Mathematics, and Social Science.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should consider taking the ISBE required content test prior to starting the program. </w:t>
      </w:r>
      <w:r w:rsidDel="00000000" w:rsidR="00000000" w:rsidRPr="00000000">
        <w:rPr>
          <w:sz w:val="20"/>
          <w:szCs w:val="20"/>
          <w:rtl w:val="0"/>
        </w:rPr>
        <w:t xml:space="preserve">All candidates must earn a score of at least 200 by the end of their first semester to continue in the program.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State Law, the content test must be passed prior to </w:t>
      </w:r>
      <w:r w:rsidDel="00000000" w:rsidR="00000000" w:rsidRPr="00000000">
        <w:rPr>
          <w:sz w:val="20"/>
          <w:szCs w:val="20"/>
          <w:rtl w:val="0"/>
        </w:rPr>
        <w:t xml:space="preserve">licensure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State Law, all courses used for licensure must be passed with at least a C-.</w:t>
      </w:r>
    </w:p>
    <w:p w:rsidR="00000000" w:rsidDel="00000000" w:rsidP="00000000" w:rsidRDefault="00000000" w:rsidRPr="00000000" w14:paraId="00000007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 I: CONTENT AREA COURSEWORK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259" w:right="0" w:hanging="25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Science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518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a bachelor’s degree in a science with at least one course in life science, one course in chemistry or physics and one course in Earth or space science.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Skip to Part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518" w:firstLine="0"/>
        <w:rPr>
          <w:i w:val="1"/>
          <w:color w:val="2e75b5"/>
          <w:sz w:val="20"/>
          <w:szCs w:val="20"/>
        </w:rPr>
      </w:pPr>
      <w:r w:rsidDel="00000000" w:rsidR="00000000" w:rsidRPr="00000000">
        <w:rPr>
          <w:i w:val="1"/>
          <w:color w:val="2e75b5"/>
          <w:sz w:val="20"/>
          <w:szCs w:val="20"/>
          <w:rtl w:val="0"/>
        </w:rPr>
        <w:t xml:space="preserve">Science areas include astronomy, biology, chemistry, Earth science, environmental science, and physics.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518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a bachelor’s degree but not in science. Complete the table below then complete Part II.</w:t>
      </w:r>
    </w:p>
    <w:tbl>
      <w:tblPr>
        <w:tblStyle w:val="Table1"/>
        <w:tblW w:w="10790.0" w:type="dxa"/>
        <w:jc w:val="left"/>
        <w:tblLayout w:type="fixed"/>
        <w:tblLook w:val="0400"/>
      </w:tblPr>
      <w:tblGrid>
        <w:gridCol w:w="990"/>
        <w:gridCol w:w="6740"/>
        <w:gridCol w:w="720"/>
        <w:gridCol w:w="2340"/>
        <w:tblGridChange w:id="0">
          <w:tblGrid>
            <w:gridCol w:w="990"/>
            <w:gridCol w:w="6740"/>
            <w:gridCol w:w="720"/>
            <w:gridCol w:w="23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COURSES |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minimum grade of C-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SEMESTER and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COLLEGE | UNIVERSITY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259" w:right="0" w:hanging="25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 Arts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518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a bachelor’s degree in English/Language Arts or Literature.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Skip to Part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Rule="auto"/>
        <w:ind w:left="518" w:firstLine="0"/>
        <w:rPr>
          <w:i w:val="1"/>
          <w:color w:val="2e75b5"/>
          <w:sz w:val="20"/>
          <w:szCs w:val="20"/>
        </w:rPr>
      </w:pPr>
      <w:r w:rsidDel="00000000" w:rsidR="00000000" w:rsidRPr="00000000">
        <w:rPr>
          <w:i w:val="1"/>
          <w:color w:val="2e75b5"/>
          <w:sz w:val="20"/>
          <w:szCs w:val="20"/>
          <w:rtl w:val="0"/>
        </w:rPr>
        <w:t xml:space="preserve">Content areas include communication, composition/rhetoric*, film in literature department, journalism, linguistics in English department, literacy, literature, speech, reading teacher and reading specialist courses. *College writing 1 and 2 or Rhetoric 1 and 2 may not be used. These are considered foundational courses.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518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do not have a bachelor’s degree in English/Language Arts or Literature. Complete the table below then complete Part II.</w:t>
      </w:r>
    </w:p>
    <w:tbl>
      <w:tblPr>
        <w:tblStyle w:val="Table2"/>
        <w:tblW w:w="10790.0" w:type="dxa"/>
        <w:jc w:val="left"/>
        <w:tblLayout w:type="fixed"/>
        <w:tblLook w:val="0400"/>
      </w:tblPr>
      <w:tblGrid>
        <w:gridCol w:w="990"/>
        <w:gridCol w:w="6740"/>
        <w:gridCol w:w="720"/>
        <w:gridCol w:w="2340"/>
        <w:tblGridChange w:id="0">
          <w:tblGrid>
            <w:gridCol w:w="990"/>
            <w:gridCol w:w="6740"/>
            <w:gridCol w:w="720"/>
            <w:gridCol w:w="23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LANGUAGE ARTS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COURSES |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minimum grade of C-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SEMESTER and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COLLEGE | UNIVERSITY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</w:tbl>
    <w:p w:rsidR="00000000" w:rsidDel="00000000" w:rsidP="00000000" w:rsidRDefault="00000000" w:rsidRPr="00000000" w14:paraId="00000060">
      <w:pPr>
        <w:spacing w:after="120" w:before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259" w:right="0" w:hanging="25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Mathematics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518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a bachelor’s degree in Mathematics.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Skip to Part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lineRule="auto"/>
        <w:ind w:left="518" w:firstLine="0"/>
        <w:rPr>
          <w:i w:val="1"/>
          <w:color w:val="2e75b5"/>
          <w:sz w:val="20"/>
          <w:szCs w:val="20"/>
        </w:rPr>
      </w:pPr>
      <w:r w:rsidDel="00000000" w:rsidR="00000000" w:rsidRPr="00000000">
        <w:rPr>
          <w:i w:val="1"/>
          <w:color w:val="2e75b5"/>
          <w:sz w:val="20"/>
          <w:szCs w:val="20"/>
          <w:rtl w:val="0"/>
        </w:rPr>
        <w:t xml:space="preserve">Mathematics areas include algebra, analysis, calculus, computer science (mathematic aspects), differential equations, discrete, finite, geometry, history of math, probability, statistics, and trigonometry.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518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do not have a bachelor’s degree in mathematics. Complete the table below then complete Part II.</w:t>
      </w:r>
    </w:p>
    <w:tbl>
      <w:tblPr>
        <w:tblStyle w:val="Table3"/>
        <w:tblW w:w="10790.0" w:type="dxa"/>
        <w:jc w:val="left"/>
        <w:tblLayout w:type="fixed"/>
        <w:tblLook w:val="0400"/>
      </w:tblPr>
      <w:tblGrid>
        <w:gridCol w:w="990"/>
        <w:gridCol w:w="6740"/>
        <w:gridCol w:w="720"/>
        <w:gridCol w:w="2340"/>
        <w:tblGridChange w:id="0">
          <w:tblGrid>
            <w:gridCol w:w="990"/>
            <w:gridCol w:w="6740"/>
            <w:gridCol w:w="720"/>
            <w:gridCol w:w="23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MATHEMATICS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COURSES |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minimum grade of C-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SEMESTER and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COLLEGE | UNIVERSITY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259" w:right="0" w:hanging="25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Science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518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a bachelor’s degree in a social science (anthropology, civics, economics, geography, history, political science, psychology, or sociology) with coursework in two other social science areas.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Skip to Part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lineRule="auto"/>
        <w:ind w:left="518" w:firstLine="0"/>
        <w:rPr>
          <w:i w:val="1"/>
          <w:color w:val="2e75b5"/>
          <w:sz w:val="20"/>
          <w:szCs w:val="20"/>
        </w:rPr>
      </w:pPr>
      <w:r w:rsidDel="00000000" w:rsidR="00000000" w:rsidRPr="00000000">
        <w:rPr>
          <w:i w:val="1"/>
          <w:color w:val="2e75b5"/>
          <w:sz w:val="20"/>
          <w:szCs w:val="20"/>
          <w:rtl w:val="0"/>
        </w:rPr>
        <w:t xml:space="preserve">Social science areas include anthropology, civics, economics, geography, government, history, political science, psychology, social justice, and sociology.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6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a social science degree, but I do not have coursework in two other areas. Please list degree area and other social science courses below then complete Part II.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6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at 32 hours or less of social science coursework. Complete the table below then complete Part II.</w:t>
      </w:r>
    </w:p>
    <w:tbl>
      <w:tblPr>
        <w:tblStyle w:val="Table4"/>
        <w:tblW w:w="10790.0" w:type="dxa"/>
        <w:jc w:val="left"/>
        <w:tblLayout w:type="fixed"/>
        <w:tblLook w:val="0400"/>
      </w:tblPr>
      <w:tblGrid>
        <w:gridCol w:w="990"/>
        <w:gridCol w:w="6740"/>
        <w:gridCol w:w="720"/>
        <w:gridCol w:w="2340"/>
        <w:tblGridChange w:id="0">
          <w:tblGrid>
            <w:gridCol w:w="990"/>
            <w:gridCol w:w="6740"/>
            <w:gridCol w:w="720"/>
            <w:gridCol w:w="23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SCIENCE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COURSES |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minimum grade of C-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SEMESTER and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COLLEGE | UNIVERSITY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</w:tbl>
    <w:p w:rsidR="00000000" w:rsidDel="00000000" w:rsidP="00000000" w:rsidRDefault="00000000" w:rsidRPr="00000000" w14:paraId="000000BA">
      <w:pPr>
        <w:spacing w:after="12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240" w:lineRule="auto"/>
        <w:jc w:val="center"/>
        <w:rPr>
          <w:b w:val="1"/>
          <w:color w:val="2e75b5"/>
          <w:sz w:val="32"/>
          <w:szCs w:val="32"/>
        </w:rPr>
      </w:pPr>
      <w:r w:rsidDel="00000000" w:rsidR="00000000" w:rsidRPr="00000000">
        <w:rPr>
          <w:b w:val="1"/>
          <w:color w:val="2e75b5"/>
          <w:sz w:val="32"/>
          <w:szCs w:val="32"/>
          <w:rtl w:val="0"/>
        </w:rPr>
        <w:t xml:space="preserve">CONTINUE TO PART II ON THE FOLLOWING PAGE</w:t>
      </w:r>
    </w:p>
    <w:p w:rsidR="00000000" w:rsidDel="00000000" w:rsidP="00000000" w:rsidRDefault="00000000" w:rsidRPr="00000000" w14:paraId="000000BC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 II: LIST ANY EDUCATION COURSES PREVIOUSLY COMPLETED</w:t>
      </w:r>
    </w:p>
    <w:tbl>
      <w:tblPr>
        <w:tblStyle w:val="Table5"/>
        <w:tblW w:w="10790.0" w:type="dxa"/>
        <w:jc w:val="left"/>
        <w:tblLayout w:type="fixed"/>
        <w:tblLook w:val="0400"/>
      </w:tblPr>
      <w:tblGrid>
        <w:gridCol w:w="990"/>
        <w:gridCol w:w="6740"/>
        <w:gridCol w:w="720"/>
        <w:gridCol w:w="2340"/>
        <w:tblGridChange w:id="0">
          <w:tblGrid>
            <w:gridCol w:w="990"/>
            <w:gridCol w:w="6740"/>
            <w:gridCol w:w="720"/>
            <w:gridCol w:w="23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EDUCATION COURSES |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minimum grade of C-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SEMESTER and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COLLEGE | UNIVERSITY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</w:tbl>
    <w:p w:rsidR="00000000" w:rsidDel="00000000" w:rsidP="00000000" w:rsidRDefault="00000000" w:rsidRPr="00000000" w14:paraId="000000E6">
      <w:pPr>
        <w:spacing w:after="120" w:before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SAVE A COPY OF COMPLETED WORKSHEET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then submit for review by the university’s licensure officer at </w:t>
      </w:r>
      <w:hyperlink r:id="rId8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https://www.stfrancis.edu/education/teacher-education-masters-curricula-m-ed/</w:t>
        </w:r>
      </w:hyperlink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via the M.Ed. Inquiry form located at the bottom of the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432" w:left="720" w:right="720" w:header="28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Master of Education with Licensure – Middle Grades Education Candidate Worksheet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◻"/>
      <w:lvlJc w:val="left"/>
      <w:pPr>
        <w:ind w:left="61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7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."/>
      <w:lvlJc w:val="left"/>
      <w:pPr>
        <w:ind w:left="8640" w:hanging="360"/>
      </w:pPr>
      <w:rPr/>
    </w:lvl>
    <w:lvl w:ilvl="1">
      <w:start w:val="1"/>
      <w:numFmt w:val="lowerLetter"/>
      <w:lvlText w:val="%2."/>
      <w:lvlJc w:val="left"/>
      <w:pPr>
        <w:ind w:left="9360" w:hanging="360"/>
      </w:pPr>
      <w:rPr/>
    </w:lvl>
    <w:lvl w:ilvl="2">
      <w:start w:val="1"/>
      <w:numFmt w:val="lowerRoman"/>
      <w:lvlText w:val="%3."/>
      <w:lvlJc w:val="right"/>
      <w:pPr>
        <w:ind w:left="10080" w:hanging="180"/>
      </w:pPr>
      <w:rPr/>
    </w:lvl>
    <w:lvl w:ilvl="3">
      <w:start w:val="1"/>
      <w:numFmt w:val="decimal"/>
      <w:lvlText w:val="%4."/>
      <w:lvlJc w:val="left"/>
      <w:pPr>
        <w:ind w:left="10800" w:hanging="360"/>
      </w:pPr>
      <w:rPr/>
    </w:lvl>
    <w:lvl w:ilvl="4">
      <w:start w:val="1"/>
      <w:numFmt w:val="lowerLetter"/>
      <w:lvlText w:val="%5."/>
      <w:lvlJc w:val="left"/>
      <w:pPr>
        <w:ind w:left="11520" w:hanging="360"/>
      </w:pPr>
      <w:rPr/>
    </w:lvl>
    <w:lvl w:ilvl="5">
      <w:start w:val="1"/>
      <w:numFmt w:val="lowerRoman"/>
      <w:lvlText w:val="%6."/>
      <w:lvlJc w:val="right"/>
      <w:pPr>
        <w:ind w:left="12240" w:hanging="180"/>
      </w:pPr>
      <w:rPr/>
    </w:lvl>
    <w:lvl w:ilvl="6">
      <w:start w:val="1"/>
      <w:numFmt w:val="decimal"/>
      <w:lvlText w:val="%7."/>
      <w:lvlJc w:val="left"/>
      <w:pPr>
        <w:ind w:left="12960" w:hanging="360"/>
      </w:pPr>
      <w:rPr/>
    </w:lvl>
    <w:lvl w:ilvl="7">
      <w:start w:val="1"/>
      <w:numFmt w:val="lowerLetter"/>
      <w:lvlText w:val="%8."/>
      <w:lvlJc w:val="left"/>
      <w:pPr>
        <w:ind w:left="13680" w:hanging="360"/>
      </w:pPr>
      <w:rPr/>
    </w:lvl>
    <w:lvl w:ilvl="8">
      <w:start w:val="1"/>
      <w:numFmt w:val="lowerRoman"/>
      <w:lvlText w:val="%9."/>
      <w:lvlJc w:val="right"/>
      <w:pPr>
        <w:ind w:left="144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F487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F487C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659CB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B20A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642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42E5"/>
  </w:style>
  <w:style w:type="paragraph" w:styleId="Footer">
    <w:name w:val="footer"/>
    <w:basedOn w:val="Normal"/>
    <w:link w:val="FooterChar"/>
    <w:uiPriority w:val="99"/>
    <w:unhideWhenUsed w:val="1"/>
    <w:rsid w:val="009642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42E5"/>
  </w:style>
  <w:style w:type="table" w:styleId="TableGrid">
    <w:name w:val="Table Grid"/>
    <w:basedOn w:val="TableNormal"/>
    <w:uiPriority w:val="39"/>
    <w:rsid w:val="009642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stfrancis.edu/education/teacher-education-masters-curricula-m-ed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aTdRyjU+ogOP6z2uvONhH4y8bA==">CgMxLjAyCGguZ2pkZ3hzOAByITFMTzZKbFp1eWVTVjNST3pwUTFfTGNpMVM0QnBSQ3A0bA==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2021-10-07T17:11:00Z</dcterms:created>
  <dc:creator>Maureen Hunt</dc:creator>
</cp:coreProperties>
</file>