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spacing w:after="60" w:line="240" w:lineRule="auto"/>
        <w:rPr>
          <w:b w:val="1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371600" cy="79695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96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b w:val="1"/>
          <w:rtl w:val="0"/>
        </w:rPr>
        <w:t xml:space="preserve">Master of Education with Licensure – Special Education Candidate Worksheet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after="0" w:line="240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must have a bachelor’s degree with a cumulative GPA of at least 2.75/4.0. Candidates with a cumulative GPA below 2.75/4.0 may be considered provided they complete pre-requisites. Please complete the form below.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Special Education teachers are required to teach all content areas. College coursework in mathematics, science, and social science are required.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should consider taking the ISBE required content test #</w:t>
      </w:r>
      <w:r w:rsidDel="00000000" w:rsidR="00000000" w:rsidRPr="00000000">
        <w:rPr>
          <w:sz w:val="20"/>
          <w:szCs w:val="20"/>
          <w:rtl w:val="0"/>
        </w:rPr>
        <w:t xml:space="preserve">290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prior to starting the program. </w:t>
      </w:r>
      <w:r w:rsidDel="00000000" w:rsidR="00000000" w:rsidRPr="00000000">
        <w:rPr>
          <w:sz w:val="20"/>
          <w:szCs w:val="20"/>
          <w:rtl w:val="0"/>
        </w:rPr>
        <w:t xml:space="preserve">The test must be taken prior to the end of the first semester. Candidates must earn a score of at least 200 in order to continue in the program. By State Law, the content test must be passed prior to licensure.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State Law, the content test must be passed prior to Internship.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State Law, all courses used for licensure must be passed with at least a C-.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59" w:right="0" w:hanging="25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Candidates have the option to pass the Special Education General Curriculum (#163) Test as part of the evaluation of general education courses.</w:t>
      </w:r>
    </w:p>
    <w:tbl>
      <w:tblPr>
        <w:tblStyle w:val="Table1"/>
        <w:tblW w:w="10790.0" w:type="dxa"/>
        <w:jc w:val="left"/>
        <w:tblLayout w:type="fixed"/>
        <w:tblLook w:val="0400"/>
      </w:tblPr>
      <w:tblGrid>
        <w:gridCol w:w="3230"/>
        <w:gridCol w:w="990"/>
        <w:gridCol w:w="3510"/>
        <w:gridCol w:w="720"/>
        <w:gridCol w:w="2340"/>
        <w:tblGridChange w:id="0">
          <w:tblGrid>
            <w:gridCol w:w="3230"/>
            <w:gridCol w:w="990"/>
            <w:gridCol w:w="3510"/>
            <w:gridCol w:w="720"/>
            <w:gridCol w:w="23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GENERAL EDUCATION RECOMMENDED COURSES |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minimum grade of C-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SEMESTER and YEAR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COLLEGE | UNIVERSITY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College Algebra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Math for Teachers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Math for Teachers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Life Science (biology)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Physical Science (chemistry, physics)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  <w:color w:val="2e75b5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2e75b5"/>
                <w:sz w:val="17"/>
                <w:szCs w:val="17"/>
                <w:rtl w:val="0"/>
              </w:rPr>
              <w:t xml:space="preserve">Two out of the following three social sciences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History (U.S. preferred)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Government or Civics (American preferred)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Cultural (World Regional) Geography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F">
      <w:pPr>
        <w:spacing w:after="0" w:before="120" w:line="240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Per Illinois law, all candidates must pass the Learning Behavior Specialist I (#290) Test prior to earning their teaching license.</w:t>
      </w:r>
    </w:p>
    <w:p w:rsidR="00000000" w:rsidDel="00000000" w:rsidP="00000000" w:rsidRDefault="00000000" w:rsidRPr="00000000" w14:paraId="00000040">
      <w:pPr>
        <w:spacing w:after="0" w:before="120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Layout w:type="fixed"/>
        <w:tblLook w:val="0400"/>
      </w:tblPr>
      <w:tblGrid>
        <w:gridCol w:w="990"/>
        <w:gridCol w:w="6740"/>
        <w:gridCol w:w="720"/>
        <w:gridCol w:w="2340"/>
        <w:tblGridChange w:id="0">
          <w:tblGrid>
            <w:gridCol w:w="990"/>
            <w:gridCol w:w="6740"/>
            <w:gridCol w:w="720"/>
            <w:gridCol w:w="234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19"/>
                <w:szCs w:val="19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 ANY EDUCATION COURSES PREVIOUSLY COMPLETED |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minimum grade of C-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SEMESTER and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COURSE 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COLLEGE | UNIVERSITY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      </w:t>
            </w:r>
          </w:p>
        </w:tc>
      </w:tr>
    </w:tbl>
    <w:p w:rsidR="00000000" w:rsidDel="00000000" w:rsidP="00000000" w:rsidRDefault="00000000" w:rsidRPr="00000000" w14:paraId="00000081">
      <w:pPr>
        <w:spacing w:after="0" w:line="240" w:lineRule="auto"/>
        <w:jc w:val="center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240" w:lineRule="auto"/>
        <w:rPr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SAVE A COPY OF COMPLETED WORKSHEET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then submit for review by the university’s licensure officer at </w:t>
      </w:r>
      <w:hyperlink r:id="rId8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https://www.stfrancis.edu/education/teacher-education-masters-curricula-m-ed/</w:t>
        </w:r>
      </w:hyperlink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via the M.Ed. Inquiry form located at the bottom of the page.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F487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F487C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659CB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0D554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2.0" w:type="dxa"/>
        <w:bottom w:w="0.0" w:type="dxa"/>
        <w:right w:w="7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stfrancis.edu/education/teacher-education-masters-curricula-m-ed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v1J8soKikwq2F7enJmCbgwBbQ==">CgMxLjAyCWguMzBqMHpsbDgAciExczlMbTdDT3loS3BVSUdTYkxBWVVtbFBldFBHdEZEUk8=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2021-10-07T18:00:00Z</dcterms:created>
  <dc:creator>Maureen Hunt</dc:creator>
</cp:coreProperties>
</file>